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29" w:rsidRPr="00162CC3" w:rsidRDefault="00543929" w:rsidP="0054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43929" w:rsidRPr="00162CC3" w:rsidRDefault="00543929" w:rsidP="0054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543929" w:rsidRDefault="00543929" w:rsidP="0054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543929" w:rsidRDefault="00543929" w:rsidP="0054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29" w:rsidRDefault="00543929" w:rsidP="00E81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РЕШЕНИЕ                            </w:t>
      </w:r>
    </w:p>
    <w:p w:rsidR="00A4535F" w:rsidRDefault="00A4535F" w:rsidP="00E818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3929" w:rsidRDefault="00A4535F" w:rsidP="00543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</w:t>
      </w:r>
      <w:r w:rsidR="004D6AD3">
        <w:rPr>
          <w:rFonts w:ascii="Times New Roman" w:hAnsi="Times New Roman" w:cs="Times New Roman"/>
          <w:sz w:val="28"/>
          <w:szCs w:val="28"/>
        </w:rPr>
        <w:t xml:space="preserve"> 2017</w:t>
      </w:r>
      <w:r w:rsidR="00F029CE">
        <w:rPr>
          <w:rFonts w:ascii="Times New Roman" w:hAnsi="Times New Roman" w:cs="Times New Roman"/>
          <w:sz w:val="28"/>
          <w:szCs w:val="28"/>
        </w:rPr>
        <w:t>г.</w:t>
      </w:r>
      <w:r w:rsidR="0054392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543929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18-4</w:t>
      </w:r>
    </w:p>
    <w:p w:rsidR="00A4535F" w:rsidRDefault="00A4535F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35F" w:rsidRDefault="00A4535F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44" w:rsidRPr="00BE60D4" w:rsidRDefault="00C73E3F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</w:t>
      </w:r>
      <w:r w:rsidR="00543929" w:rsidRPr="00BE60D4">
        <w:rPr>
          <w:rFonts w:ascii="Times New Roman" w:hAnsi="Times New Roman" w:cs="Times New Roman"/>
          <w:sz w:val="28"/>
          <w:szCs w:val="28"/>
        </w:rPr>
        <w:t>етодики расчета</w:t>
      </w:r>
    </w:p>
    <w:p w:rsidR="00543929" w:rsidRPr="00BE60D4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пользование</w:t>
      </w:r>
      <w:r w:rsidR="00543929" w:rsidRPr="00BE60D4">
        <w:rPr>
          <w:rFonts w:ascii="Times New Roman" w:hAnsi="Times New Roman" w:cs="Times New Roman"/>
          <w:sz w:val="28"/>
          <w:szCs w:val="28"/>
        </w:rPr>
        <w:t xml:space="preserve"> зданиями, </w:t>
      </w:r>
    </w:p>
    <w:p w:rsidR="00F029CE" w:rsidRDefault="00543929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0D4">
        <w:rPr>
          <w:rFonts w:ascii="Times New Roman" w:hAnsi="Times New Roman" w:cs="Times New Roman"/>
          <w:sz w:val="28"/>
          <w:szCs w:val="28"/>
        </w:rPr>
        <w:t xml:space="preserve">сооружениями и нежилыми помещениями </w:t>
      </w:r>
      <w:r w:rsidR="00F029CE">
        <w:rPr>
          <w:rFonts w:ascii="Times New Roman" w:hAnsi="Times New Roman" w:cs="Times New Roman"/>
          <w:sz w:val="28"/>
          <w:szCs w:val="28"/>
        </w:rPr>
        <w:t>находящимися</w:t>
      </w:r>
    </w:p>
    <w:p w:rsidR="00543929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543929" w:rsidRPr="00BE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929" w:rsidRPr="00BE60D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543929" w:rsidRPr="00BE60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045F" w:rsidRDefault="0085045F" w:rsidP="00850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</w:p>
    <w:p w:rsidR="0085045F" w:rsidRPr="00BE60D4" w:rsidRDefault="0085045F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093" w:rsidRDefault="00543929" w:rsidP="002E0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0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60D4" w:rsidRPr="00BE60D4">
        <w:rPr>
          <w:rFonts w:ascii="Times New Roman" w:hAnsi="Times New Roman" w:cs="Times New Roman"/>
          <w:sz w:val="28"/>
          <w:szCs w:val="28"/>
        </w:rPr>
        <w:t xml:space="preserve">п.10 ст. 35 Федерального Закона Российской Федерации от 06.10.2003 № 131-ФЗ «Об общих принципах организации </w:t>
      </w:r>
      <w:r w:rsidR="00D30B3A" w:rsidRPr="00BE60D4">
        <w:rPr>
          <w:rFonts w:ascii="Times New Roman" w:hAnsi="Times New Roman" w:cs="Times New Roman"/>
          <w:sz w:val="28"/>
          <w:szCs w:val="28"/>
        </w:rPr>
        <w:t>местного</w:t>
      </w:r>
      <w:r w:rsidR="00BE60D4" w:rsidRPr="00BE60D4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</w:t>
      </w:r>
      <w:r w:rsidR="00F029CE" w:rsidRPr="00F029CE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="00F029CE" w:rsidRPr="00F029CE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F029CE" w:rsidRPr="00F029CE"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  <w:proofErr w:type="spellStart"/>
      <w:r w:rsidR="00F029CE" w:rsidRPr="00F029CE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F029CE" w:rsidRPr="00F029C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E0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93" w:rsidRDefault="002E0093" w:rsidP="002E0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0D4" w:rsidRDefault="009B2D2D" w:rsidP="002E0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E0093" w:rsidRDefault="002E0093" w:rsidP="002E0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0D4" w:rsidRDefault="00BE60D4" w:rsidP="00F029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30B3A">
        <w:rPr>
          <w:rFonts w:ascii="Times New Roman" w:hAnsi="Times New Roman" w:cs="Times New Roman"/>
          <w:sz w:val="28"/>
          <w:szCs w:val="28"/>
        </w:rPr>
        <w:t xml:space="preserve">утратившим силу Решение </w:t>
      </w:r>
      <w:proofErr w:type="spellStart"/>
      <w:r w:rsidR="00D30B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D30B3A">
        <w:rPr>
          <w:rFonts w:ascii="Times New Roman" w:hAnsi="Times New Roman" w:cs="Times New Roman"/>
          <w:sz w:val="28"/>
          <w:szCs w:val="28"/>
        </w:rPr>
        <w:t xml:space="preserve"> от 05.05.2010 № 4-4 «Об утверждении методики расчета арендной платы за пользованием зданиями, сооружениями и нежилыми помещениями муниципальной собственности </w:t>
      </w:r>
      <w:proofErr w:type="spellStart"/>
      <w:r w:rsidR="00D30B3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D30B3A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30B3A" w:rsidRDefault="00D30B3A" w:rsidP="00F029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="00F029CE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F029CE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F029CE">
        <w:rPr>
          <w:rFonts w:ascii="Times New Roman" w:hAnsi="Times New Roman" w:cs="Times New Roman"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от 28.07.2011 № 23-3 «О внесении дополнений в Приложение № 1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4-4 от 05.05.2010</w:t>
      </w:r>
      <w:r w:rsidR="00F0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«Об утверждении методики расчета арендной платы за использование зданиями, сооружениями и нежилыми помещениями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30B3A" w:rsidRPr="00210445" w:rsidRDefault="00C73E3F" w:rsidP="002104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445">
        <w:rPr>
          <w:rFonts w:ascii="Times New Roman" w:hAnsi="Times New Roman" w:cs="Times New Roman"/>
          <w:sz w:val="28"/>
          <w:szCs w:val="28"/>
        </w:rPr>
        <w:t>Утвердить М</w:t>
      </w:r>
      <w:r w:rsidR="00D30B3A" w:rsidRPr="00210445">
        <w:rPr>
          <w:rFonts w:ascii="Times New Roman" w:hAnsi="Times New Roman" w:cs="Times New Roman"/>
          <w:sz w:val="28"/>
          <w:szCs w:val="28"/>
        </w:rPr>
        <w:t xml:space="preserve">етодику расчета арендной платы за пользование нежилыми помещениями, находящимися в муниципальной собственности </w:t>
      </w:r>
      <w:proofErr w:type="spellStart"/>
      <w:r w:rsidR="00D30B3A" w:rsidRPr="00210445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D30B3A" w:rsidRPr="00210445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 № 1</w:t>
      </w:r>
      <w:r w:rsidR="00210445" w:rsidRPr="00210445">
        <w:rPr>
          <w:rFonts w:ascii="Times New Roman" w:hAnsi="Times New Roman" w:cs="Times New Roman"/>
          <w:sz w:val="28"/>
          <w:szCs w:val="28"/>
        </w:rPr>
        <w:t xml:space="preserve">, </w:t>
      </w:r>
      <w:r w:rsidR="0072269D" w:rsidRPr="0021044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B30AD" w:rsidRPr="00210445">
        <w:rPr>
          <w:rFonts w:ascii="Times New Roman" w:hAnsi="Times New Roman" w:cs="Times New Roman"/>
          <w:sz w:val="28"/>
          <w:szCs w:val="28"/>
        </w:rPr>
        <w:t xml:space="preserve">применяется при </w:t>
      </w:r>
      <w:r w:rsidR="00210445" w:rsidRPr="00210445">
        <w:rPr>
          <w:rFonts w:ascii="Times New Roman" w:hAnsi="Times New Roman" w:cs="Times New Roman"/>
          <w:sz w:val="28"/>
          <w:szCs w:val="28"/>
        </w:rPr>
        <w:t xml:space="preserve">изменении действующих и </w:t>
      </w:r>
      <w:r w:rsidR="002B30AD" w:rsidRPr="00210445">
        <w:rPr>
          <w:rFonts w:ascii="Times New Roman" w:hAnsi="Times New Roman" w:cs="Times New Roman"/>
          <w:sz w:val="28"/>
          <w:szCs w:val="28"/>
        </w:rPr>
        <w:t>заключении новых договоров аренды зданий, сооружений и нежилых помещений муниципальной собственности</w:t>
      </w:r>
      <w:r w:rsidR="00210445" w:rsidRPr="00210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0AD" w:rsidRPr="00210445" w:rsidRDefault="002B30AD" w:rsidP="00F029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445">
        <w:rPr>
          <w:rFonts w:ascii="Times New Roman" w:hAnsi="Times New Roman" w:cs="Times New Roman"/>
          <w:sz w:val="28"/>
          <w:szCs w:val="28"/>
        </w:rPr>
        <w:t xml:space="preserve">Установить  на 2017 год </w:t>
      </w:r>
      <w:r w:rsidR="00F06088" w:rsidRPr="00210445">
        <w:rPr>
          <w:rFonts w:ascii="Times New Roman" w:hAnsi="Times New Roman" w:cs="Times New Roman"/>
          <w:sz w:val="28"/>
          <w:szCs w:val="28"/>
        </w:rPr>
        <w:t xml:space="preserve"> базовую ставку годовой арендной платы за один квадратный метр нежилой </w:t>
      </w:r>
      <w:r w:rsidR="0072269D" w:rsidRPr="00210445">
        <w:rPr>
          <w:rFonts w:ascii="Times New Roman" w:hAnsi="Times New Roman" w:cs="Times New Roman"/>
          <w:sz w:val="28"/>
          <w:szCs w:val="28"/>
        </w:rPr>
        <w:t>площади в размере</w:t>
      </w:r>
      <w:r w:rsidR="00C73E3F" w:rsidRPr="00210445">
        <w:rPr>
          <w:rFonts w:ascii="Times New Roman" w:hAnsi="Times New Roman" w:cs="Times New Roman"/>
          <w:sz w:val="28"/>
          <w:szCs w:val="28"/>
        </w:rPr>
        <w:t xml:space="preserve"> </w:t>
      </w:r>
      <w:r w:rsidR="00210445" w:rsidRPr="00210445">
        <w:rPr>
          <w:rFonts w:ascii="Times New Roman" w:hAnsi="Times New Roman" w:cs="Times New Roman"/>
          <w:sz w:val="28"/>
          <w:szCs w:val="28"/>
        </w:rPr>
        <w:t>1272,60</w:t>
      </w:r>
      <w:r w:rsidR="00C73E3F" w:rsidRPr="00210445">
        <w:rPr>
          <w:rFonts w:ascii="Times New Roman" w:hAnsi="Times New Roman" w:cs="Times New Roman"/>
          <w:sz w:val="28"/>
          <w:szCs w:val="28"/>
        </w:rPr>
        <w:t xml:space="preserve"> рубл</w:t>
      </w:r>
      <w:r w:rsidR="00210445" w:rsidRPr="00210445">
        <w:rPr>
          <w:rFonts w:ascii="Times New Roman" w:hAnsi="Times New Roman" w:cs="Times New Roman"/>
          <w:sz w:val="28"/>
          <w:szCs w:val="28"/>
        </w:rPr>
        <w:t>я</w:t>
      </w:r>
      <w:r w:rsidR="0072269D" w:rsidRPr="00210445">
        <w:rPr>
          <w:rFonts w:ascii="Times New Roman" w:hAnsi="Times New Roman" w:cs="Times New Roman"/>
          <w:sz w:val="28"/>
          <w:szCs w:val="28"/>
        </w:rPr>
        <w:t>, установленном</w:t>
      </w:r>
      <w:r w:rsidR="00F06088" w:rsidRPr="00210445">
        <w:rPr>
          <w:rFonts w:ascii="Times New Roman" w:hAnsi="Times New Roman" w:cs="Times New Roman"/>
          <w:sz w:val="28"/>
          <w:szCs w:val="28"/>
        </w:rPr>
        <w:t xml:space="preserve"> </w:t>
      </w:r>
      <w:r w:rsidR="008E6EBE" w:rsidRPr="00210445">
        <w:rPr>
          <w:rFonts w:ascii="Times New Roman" w:hAnsi="Times New Roman" w:cs="Times New Roman"/>
          <w:sz w:val="28"/>
          <w:szCs w:val="28"/>
        </w:rPr>
        <w:t>оценкой рыночной стоимости одного платежного периода (1 месяца)</w:t>
      </w:r>
      <w:r w:rsidR="00C73E3F" w:rsidRPr="00210445">
        <w:rPr>
          <w:rFonts w:ascii="Times New Roman" w:hAnsi="Times New Roman" w:cs="Times New Roman"/>
          <w:sz w:val="28"/>
          <w:szCs w:val="28"/>
        </w:rPr>
        <w:t>.</w:t>
      </w:r>
    </w:p>
    <w:p w:rsidR="00C73E3F" w:rsidRPr="002E0093" w:rsidRDefault="00C73E3F" w:rsidP="00C73E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73E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3E3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C73E3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73E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E3F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C73E3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Панина А.В.</w:t>
      </w:r>
    </w:p>
    <w:p w:rsidR="002E0093" w:rsidRDefault="002E0093" w:rsidP="002E0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0093" w:rsidRPr="00C73E3F" w:rsidRDefault="002E0093" w:rsidP="002E00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EBE" w:rsidRPr="0085045F" w:rsidRDefault="008E6EBE" w:rsidP="00F029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EB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официального опубликования в Ведомостях органов местного самоуправления муниципального образования и на официальном сайте </w:t>
      </w:r>
      <w:proofErr w:type="spellStart"/>
      <w:r w:rsidRPr="008E6EBE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8E6EB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E0093" w:rsidRDefault="002E0093" w:rsidP="00F029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093" w:rsidRDefault="002E0093" w:rsidP="00F029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093" w:rsidRDefault="002E0093" w:rsidP="00F029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F029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029CE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F029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EBE" w:rsidRDefault="008E6EBE" w:rsidP="00F029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E6EBE" w:rsidRDefault="008E6EBE" w:rsidP="00F029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F029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Чумаков____________                          _____________</w:t>
      </w:r>
      <w:r w:rsidR="00F029CE">
        <w:rPr>
          <w:rFonts w:ascii="Times New Roman" w:hAnsi="Times New Roman" w:cs="Times New Roman"/>
          <w:sz w:val="28"/>
          <w:szCs w:val="28"/>
        </w:rPr>
        <w:t>А.В. Панин</w:t>
      </w:r>
    </w:p>
    <w:p w:rsidR="008E6EBE" w:rsidRDefault="008E6EBE" w:rsidP="00F029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F029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8E6EBE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269D" w:rsidRDefault="0072269D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269D" w:rsidRDefault="0072269D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269D" w:rsidRDefault="0072269D" w:rsidP="008E6E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EBE" w:rsidRDefault="00210445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6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№ 1 </w:t>
      </w:r>
    </w:p>
    <w:p w:rsidR="008E6EBE" w:rsidRDefault="008E6EBE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Решению Совета депутатов </w:t>
      </w:r>
    </w:p>
    <w:p w:rsidR="008E6EBE" w:rsidRDefault="008E6EBE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2269D">
        <w:rPr>
          <w:rFonts w:ascii="Times New Roman" w:hAnsi="Times New Roman" w:cs="Times New Roman"/>
          <w:sz w:val="28"/>
          <w:szCs w:val="28"/>
        </w:rPr>
        <w:t xml:space="preserve">от </w:t>
      </w:r>
      <w:r w:rsidR="00A4535F">
        <w:rPr>
          <w:rFonts w:ascii="Times New Roman" w:hAnsi="Times New Roman" w:cs="Times New Roman"/>
          <w:sz w:val="28"/>
          <w:szCs w:val="28"/>
        </w:rPr>
        <w:t>26.01.</w:t>
      </w:r>
      <w:r w:rsidR="0072269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535F">
        <w:rPr>
          <w:rFonts w:ascii="Times New Roman" w:hAnsi="Times New Roman" w:cs="Times New Roman"/>
          <w:sz w:val="28"/>
          <w:szCs w:val="28"/>
        </w:rPr>
        <w:t>18-4</w:t>
      </w:r>
    </w:p>
    <w:p w:rsidR="008E6EBE" w:rsidRDefault="008E6EBE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269D" w:rsidRDefault="008E6EBE" w:rsidP="007226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8E6EBE" w:rsidRDefault="008E6EBE" w:rsidP="007226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арендной платы за пользование нежилыми помещениями, находящимися в муниципальной собственности</w:t>
      </w:r>
      <w:r w:rsidR="0072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9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2269D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</w:t>
      </w:r>
      <w:r w:rsidR="0085045F">
        <w:rPr>
          <w:rFonts w:ascii="Times New Roman" w:hAnsi="Times New Roman" w:cs="Times New Roman"/>
          <w:sz w:val="28"/>
          <w:szCs w:val="28"/>
        </w:rPr>
        <w:t>я</w:t>
      </w:r>
      <w:r w:rsidR="0072269D">
        <w:rPr>
          <w:rFonts w:ascii="Times New Roman" w:hAnsi="Times New Roman" w:cs="Times New Roman"/>
          <w:sz w:val="28"/>
          <w:szCs w:val="28"/>
        </w:rPr>
        <w:t>рского края</w:t>
      </w:r>
    </w:p>
    <w:p w:rsidR="008E6EBE" w:rsidRDefault="008E6EBE" w:rsidP="007226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C59BD" w:rsidRDefault="008E6EBE" w:rsidP="007226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расчет</w:t>
      </w:r>
      <w:r w:rsidR="0085045F">
        <w:rPr>
          <w:rFonts w:ascii="Times New Roman" w:hAnsi="Times New Roman" w:cs="Times New Roman"/>
          <w:sz w:val="28"/>
          <w:szCs w:val="28"/>
        </w:rPr>
        <w:t>а арендной платы за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зданиями, сооружениями и нежилыми помещениями муниц</w:t>
      </w:r>
      <w:r w:rsidR="003F35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собственности </w:t>
      </w:r>
      <w:proofErr w:type="spellStart"/>
      <w:r w:rsidR="0085045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85045F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принята базовая ставка арендной платы за один квадратный метр общей площади,</w:t>
      </w:r>
      <w:r w:rsidR="003F3543">
        <w:rPr>
          <w:rFonts w:ascii="Times New Roman" w:hAnsi="Times New Roman" w:cs="Times New Roman"/>
          <w:sz w:val="28"/>
          <w:szCs w:val="28"/>
        </w:rPr>
        <w:t xml:space="preserve"> </w:t>
      </w:r>
      <w:r w:rsidR="00EC59B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EC59BD"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="00EC59BD">
        <w:rPr>
          <w:rFonts w:ascii="Times New Roman" w:hAnsi="Times New Roman" w:cs="Times New Roman"/>
          <w:sz w:val="28"/>
          <w:szCs w:val="28"/>
        </w:rPr>
        <w:t xml:space="preserve"> об оценке объекта оценки составленном по основания</w:t>
      </w:r>
      <w:r w:rsidR="0085045F">
        <w:rPr>
          <w:rFonts w:ascii="Times New Roman" w:hAnsi="Times New Roman" w:cs="Times New Roman"/>
          <w:sz w:val="28"/>
          <w:szCs w:val="28"/>
        </w:rPr>
        <w:t>м и в порядке, предусмотренным Ф</w:t>
      </w:r>
      <w:r w:rsidR="00EC59BD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210445">
        <w:rPr>
          <w:rFonts w:ascii="Times New Roman" w:hAnsi="Times New Roman" w:cs="Times New Roman"/>
          <w:sz w:val="28"/>
          <w:szCs w:val="28"/>
        </w:rPr>
        <w:t>№ 135-ФЗ «О</w:t>
      </w:r>
      <w:r w:rsidR="00EC59BD">
        <w:rPr>
          <w:rFonts w:ascii="Times New Roman" w:hAnsi="Times New Roman" w:cs="Times New Roman"/>
          <w:sz w:val="28"/>
          <w:szCs w:val="28"/>
        </w:rPr>
        <w:t>б оценочной деятельности</w:t>
      </w:r>
      <w:r w:rsidR="00210445">
        <w:rPr>
          <w:rFonts w:ascii="Times New Roman" w:hAnsi="Times New Roman" w:cs="Times New Roman"/>
          <w:sz w:val="28"/>
          <w:szCs w:val="28"/>
        </w:rPr>
        <w:t>» от 29.07.1998.</w:t>
      </w:r>
    </w:p>
    <w:p w:rsidR="00D91E62" w:rsidRDefault="00EC59BD" w:rsidP="007226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здания (помещения)</w:t>
      </w:r>
      <w:r w:rsidR="00D91E62">
        <w:rPr>
          <w:rFonts w:ascii="Times New Roman" w:hAnsi="Times New Roman" w:cs="Times New Roman"/>
          <w:sz w:val="28"/>
          <w:szCs w:val="28"/>
        </w:rPr>
        <w:t xml:space="preserve"> определяется по данны</w:t>
      </w:r>
      <w:r w:rsidR="0085045F">
        <w:rPr>
          <w:rFonts w:ascii="Times New Roman" w:hAnsi="Times New Roman" w:cs="Times New Roman"/>
          <w:sz w:val="28"/>
          <w:szCs w:val="28"/>
        </w:rPr>
        <w:t>м технического паспорта (кв. м).</w:t>
      </w:r>
    </w:p>
    <w:p w:rsidR="00D91E62" w:rsidRDefault="00D91E62" w:rsidP="007226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годовой арендной платы за нежилое помещение определяется по следующей формуле:</w:t>
      </w:r>
    </w:p>
    <w:p w:rsidR="00D91E62" w:rsidRDefault="00D91E62" w:rsidP="0072269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Апл</w:t>
      </w:r>
      <w:proofErr w:type="spellEnd"/>
      <w:r>
        <w:rPr>
          <w:rFonts w:ascii="Times New Roman" w:hAnsi="Times New Roman" w:cs="Times New Roman"/>
          <w:sz w:val="28"/>
          <w:szCs w:val="28"/>
        </w:rPr>
        <w:t>.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D9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хКТЗ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хКд</w:t>
      </w:r>
      <w:proofErr w:type="spellEnd"/>
      <w:r>
        <w:rPr>
          <w:rFonts w:ascii="Times New Roman" w:hAnsi="Times New Roman" w:cs="Times New Roman"/>
          <w:sz w:val="28"/>
          <w:szCs w:val="28"/>
        </w:rPr>
        <w:t>), где</w:t>
      </w:r>
    </w:p>
    <w:p w:rsidR="00D91E62" w:rsidRDefault="00D91E62" w:rsidP="0072269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1E62" w:rsidRDefault="00D91E62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базовая величина арендной платы одного квадратного метра в год, </w:t>
      </w:r>
      <w:r>
        <w:t xml:space="preserve"> </w:t>
      </w:r>
      <w:r w:rsidRPr="00D91E62">
        <w:rPr>
          <w:rFonts w:ascii="Times New Roman" w:hAnsi="Times New Roman" w:cs="Times New Roman"/>
          <w:sz w:val="28"/>
          <w:szCs w:val="28"/>
        </w:rPr>
        <w:t xml:space="preserve">определенная на основании отчета об оценке </w:t>
      </w:r>
      <w:r>
        <w:rPr>
          <w:rFonts w:ascii="Times New Roman" w:hAnsi="Times New Roman" w:cs="Times New Roman"/>
          <w:sz w:val="28"/>
          <w:szCs w:val="28"/>
        </w:rPr>
        <w:t>имущества;</w:t>
      </w:r>
    </w:p>
    <w:p w:rsidR="00D91E62" w:rsidRDefault="005C006E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00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арендуемая площадь;</w:t>
      </w:r>
    </w:p>
    <w:p w:rsidR="005C006E" w:rsidRDefault="005C006E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строительного материала: 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5C006E" w:rsidTr="00E30995">
        <w:tc>
          <w:tcPr>
            <w:tcW w:w="7479" w:type="dxa"/>
          </w:tcPr>
          <w:p w:rsidR="005C006E" w:rsidRPr="005C006E" w:rsidRDefault="005C006E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пристроенное для кирпичного строения  </w:t>
            </w:r>
          </w:p>
          <w:p w:rsidR="005C006E" w:rsidRDefault="005C006E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006E" w:rsidRDefault="005C006E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</w:tr>
      <w:tr w:rsidR="005C006E" w:rsidTr="00E30995">
        <w:tc>
          <w:tcPr>
            <w:tcW w:w="7479" w:type="dxa"/>
          </w:tcPr>
          <w:p w:rsidR="005C006E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встроенное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пристроенное в железобетонном здании</w:t>
            </w:r>
          </w:p>
        </w:tc>
        <w:tc>
          <w:tcPr>
            <w:tcW w:w="2092" w:type="dxa"/>
          </w:tcPr>
          <w:p w:rsidR="005C006E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C006E" w:rsidTr="00E30995">
        <w:tc>
          <w:tcPr>
            <w:tcW w:w="7479" w:type="dxa"/>
          </w:tcPr>
          <w:p w:rsidR="005C006E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железобетонное</w:t>
            </w:r>
          </w:p>
        </w:tc>
        <w:tc>
          <w:tcPr>
            <w:tcW w:w="2092" w:type="dxa"/>
          </w:tcPr>
          <w:p w:rsidR="005C006E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5C006E" w:rsidRDefault="005C006E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810" w:rsidRDefault="00053810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расположение строения: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053810" w:rsidTr="00E30995">
        <w:tc>
          <w:tcPr>
            <w:tcW w:w="7479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2092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53810" w:rsidTr="00E30995">
        <w:tc>
          <w:tcPr>
            <w:tcW w:w="7479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Киндяково</w:t>
            </w:r>
            <w:proofErr w:type="spellEnd"/>
          </w:p>
        </w:tc>
        <w:tc>
          <w:tcPr>
            <w:tcW w:w="2092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53810" w:rsidTr="00E30995">
        <w:trPr>
          <w:trHeight w:val="390"/>
        </w:trPr>
        <w:tc>
          <w:tcPr>
            <w:tcW w:w="7479" w:type="dxa"/>
            <w:tcBorders>
              <w:bottom w:val="single" w:sz="4" w:space="0" w:color="auto"/>
            </w:tcBorders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Челноково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53810" w:rsidTr="00E30995">
        <w:trPr>
          <w:trHeight w:val="270"/>
        </w:trPr>
        <w:tc>
          <w:tcPr>
            <w:tcW w:w="7479" w:type="dxa"/>
            <w:tcBorders>
              <w:top w:val="single" w:sz="4" w:space="0" w:color="auto"/>
            </w:tcBorders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прочих территорий, не входящих в черту населенных пунктов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53810" w:rsidRDefault="00053810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810" w:rsidRDefault="00053810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степень технического обустройства помещения, изменяется при наличии (отсутствии)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053810" w:rsidTr="00E30995">
        <w:tc>
          <w:tcPr>
            <w:tcW w:w="7479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="00E30995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водоснабжения, водоотведения, </w:t>
            </w:r>
            <w:r w:rsidR="00E30995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2092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53810" w:rsidTr="00E30995">
        <w:tc>
          <w:tcPr>
            <w:tcW w:w="7479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электричества, водоснабжении, водоотведении</w:t>
            </w:r>
          </w:p>
        </w:tc>
        <w:tc>
          <w:tcPr>
            <w:tcW w:w="2092" w:type="dxa"/>
          </w:tcPr>
          <w:p w:rsidR="00053810" w:rsidRDefault="00053810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53810" w:rsidTr="00E30995">
        <w:trPr>
          <w:trHeight w:val="731"/>
        </w:trPr>
        <w:tc>
          <w:tcPr>
            <w:tcW w:w="7479" w:type="dxa"/>
            <w:tcBorders>
              <w:bottom w:val="single" w:sz="4" w:space="0" w:color="auto"/>
            </w:tcBorders>
          </w:tcPr>
          <w:p w:rsidR="00053810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r w:rsidR="00053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r w:rsidR="0005381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жения, водоотведения, теплоснаб</w:t>
            </w:r>
            <w:r w:rsidR="00053810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53810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0995" w:rsidTr="00E30995">
        <w:trPr>
          <w:trHeight w:val="195"/>
        </w:trPr>
        <w:tc>
          <w:tcPr>
            <w:tcW w:w="7479" w:type="dxa"/>
            <w:tcBorders>
              <w:top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отсутствии электроснабжения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053810" w:rsidRDefault="00053810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810" w:rsidRDefault="00E30995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 – коэффициент, учитывающий вид деятельности арендатора:</w:t>
      </w:r>
    </w:p>
    <w:p w:rsidR="00E30995" w:rsidRDefault="00E30995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E30995" w:rsidTr="00E30995">
        <w:tc>
          <w:tcPr>
            <w:tcW w:w="7479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управляющей компании</w:t>
            </w:r>
          </w:p>
        </w:tc>
        <w:tc>
          <w:tcPr>
            <w:tcW w:w="2092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30995" w:rsidTr="00E30995">
        <w:tc>
          <w:tcPr>
            <w:tcW w:w="7479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продуктами питания</w:t>
            </w:r>
          </w:p>
        </w:tc>
        <w:tc>
          <w:tcPr>
            <w:tcW w:w="2092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E30995" w:rsidTr="00E30995">
        <w:tc>
          <w:tcPr>
            <w:tcW w:w="7479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продуктов питания, хлебобулочных изделий, полуфабрикатов и т.д.</w:t>
            </w:r>
          </w:p>
        </w:tc>
        <w:tc>
          <w:tcPr>
            <w:tcW w:w="2092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30995" w:rsidTr="00E30995">
        <w:tc>
          <w:tcPr>
            <w:tcW w:w="7479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развлечений, культуры и спорта </w:t>
            </w:r>
          </w:p>
        </w:tc>
        <w:tc>
          <w:tcPr>
            <w:tcW w:w="2092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30995" w:rsidTr="00E30995">
        <w:tc>
          <w:tcPr>
            <w:tcW w:w="7479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бани, прачечные</w:t>
            </w:r>
          </w:p>
        </w:tc>
        <w:tc>
          <w:tcPr>
            <w:tcW w:w="2092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30995" w:rsidTr="00E30995">
        <w:tc>
          <w:tcPr>
            <w:tcW w:w="7479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2092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0995" w:rsidTr="00E30995">
        <w:tc>
          <w:tcPr>
            <w:tcW w:w="7479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столовые, кафе, закусочные</w:t>
            </w:r>
          </w:p>
        </w:tc>
        <w:tc>
          <w:tcPr>
            <w:tcW w:w="2092" w:type="dxa"/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30995" w:rsidTr="00E30995">
        <w:trPr>
          <w:trHeight w:val="360"/>
        </w:trPr>
        <w:tc>
          <w:tcPr>
            <w:tcW w:w="7479" w:type="dxa"/>
            <w:tcBorders>
              <w:bottom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парикмахерские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30995" w:rsidTr="00E30995">
        <w:trPr>
          <w:trHeight w:val="27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хозяйственными товарами и бытовой химией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30995" w:rsidTr="00E30995">
        <w:trPr>
          <w:trHeight w:val="24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складские помещения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30995" w:rsidRDefault="00E30995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0995" w:rsidTr="00E30995">
        <w:trPr>
          <w:trHeight w:val="15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E30995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для проживания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30995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0995" w:rsidTr="00566514">
        <w:trPr>
          <w:trHeight w:val="381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E30995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почтовой связи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66514" w:rsidTr="00566514">
        <w:trPr>
          <w:trHeight w:val="127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лекарственными препаратами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66514" w:rsidTr="00566514">
        <w:trPr>
          <w:trHeight w:val="18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предприятий эксплуатации ЖКХ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6514" w:rsidTr="00566514">
        <w:trPr>
          <w:trHeight w:val="18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предприятий эксплуатации ЖКХ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Киндяково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6514" w:rsidTr="00566514">
        <w:trPr>
          <w:trHeight w:val="34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66514" w:rsidTr="00566514">
        <w:trPr>
          <w:trHeight w:val="28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строительными материалами и промышленными  товарами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66514" w:rsidTr="00566514">
        <w:trPr>
          <w:trHeight w:val="27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ДМШ для занятий живописью и прикладным искусством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6514" w:rsidTr="00566514">
        <w:trPr>
          <w:trHeight w:val="31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полиграфические услуги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6514" w:rsidTr="00E30995">
        <w:trPr>
          <w:trHeight w:val="210"/>
        </w:trPr>
        <w:tc>
          <w:tcPr>
            <w:tcW w:w="7479" w:type="dxa"/>
            <w:tcBorders>
              <w:top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деятельности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566514" w:rsidRDefault="00566514" w:rsidP="00722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30995" w:rsidRDefault="00E30995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810" w:rsidRDefault="009B67CB" w:rsidP="007226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многофункциональном использовании арендуемого помещения арендная плата рассчитывается для каждого вида деятельности.</w:t>
      </w:r>
    </w:p>
    <w:p w:rsidR="009B67CB" w:rsidRDefault="009B67CB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Арендная плата не включает в себя эксплуатационные расходы на содержание предмета аренды (электроэнергия, коммунальные услуги), амортизационные отчисления, налоги на имущество.</w:t>
      </w:r>
    </w:p>
    <w:p w:rsidR="009B67CB" w:rsidRDefault="009B67CB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проведения арендатором работ по капитальному ремонту здания или нежилого помещения муниципальной собственности (предусмотренных договором или вызванных неотложной необходимостью), арендатор вправе обратиться к арендодателю с заявлением о зачете затрат на капитальный ремонт в счет арендной платы.</w:t>
      </w:r>
    </w:p>
    <w:p w:rsidR="00053810" w:rsidRDefault="009B67CB" w:rsidP="007226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Основанием для проведения капитального ремонта </w:t>
      </w:r>
      <w:r w:rsidR="00862C1E">
        <w:rPr>
          <w:rFonts w:ascii="Times New Roman" w:hAnsi="Times New Roman" w:cs="Times New Roman"/>
          <w:sz w:val="28"/>
          <w:szCs w:val="28"/>
        </w:rPr>
        <w:t xml:space="preserve">и зачета затрат на капитальный ремонт является дополнительное соглашение, заключенное </w:t>
      </w:r>
      <w:r w:rsidR="00862C1E">
        <w:rPr>
          <w:rFonts w:ascii="Times New Roman" w:hAnsi="Times New Roman" w:cs="Times New Roman"/>
          <w:sz w:val="28"/>
          <w:szCs w:val="28"/>
        </w:rPr>
        <w:lastRenderedPageBreak/>
        <w:t>между арендатором и арендодателем, в котором предусматриваются также сроки и иные условия ремонта, приемки выполненных работ, порядок проведения зачета затрат.</w:t>
      </w:r>
    </w:p>
    <w:sectPr w:rsidR="00053810" w:rsidSect="005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92E"/>
    <w:multiLevelType w:val="hybridMultilevel"/>
    <w:tmpl w:val="9DC06F08"/>
    <w:lvl w:ilvl="0" w:tplc="084CB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F6389"/>
    <w:multiLevelType w:val="hybridMultilevel"/>
    <w:tmpl w:val="7F54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43929"/>
    <w:rsid w:val="00053810"/>
    <w:rsid w:val="00072C07"/>
    <w:rsid w:val="00210445"/>
    <w:rsid w:val="00295243"/>
    <w:rsid w:val="002B30AD"/>
    <w:rsid w:val="002E0093"/>
    <w:rsid w:val="003F3543"/>
    <w:rsid w:val="004D6AD3"/>
    <w:rsid w:val="00501144"/>
    <w:rsid w:val="00543929"/>
    <w:rsid w:val="00566514"/>
    <w:rsid w:val="005C006E"/>
    <w:rsid w:val="006A7DC6"/>
    <w:rsid w:val="007202CC"/>
    <w:rsid w:val="0072269D"/>
    <w:rsid w:val="0085045F"/>
    <w:rsid w:val="00862C1E"/>
    <w:rsid w:val="008C3966"/>
    <w:rsid w:val="008E6EBE"/>
    <w:rsid w:val="00936E12"/>
    <w:rsid w:val="00975EE1"/>
    <w:rsid w:val="009B2D2D"/>
    <w:rsid w:val="009B67CB"/>
    <w:rsid w:val="00A4535F"/>
    <w:rsid w:val="00BE60D4"/>
    <w:rsid w:val="00BF3386"/>
    <w:rsid w:val="00C0470A"/>
    <w:rsid w:val="00C22AAD"/>
    <w:rsid w:val="00C73E3F"/>
    <w:rsid w:val="00D30B3A"/>
    <w:rsid w:val="00D91E62"/>
    <w:rsid w:val="00D97F92"/>
    <w:rsid w:val="00E30995"/>
    <w:rsid w:val="00E64E8E"/>
    <w:rsid w:val="00E818C8"/>
    <w:rsid w:val="00EC59BD"/>
    <w:rsid w:val="00F029CE"/>
    <w:rsid w:val="00F0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D4"/>
    <w:pPr>
      <w:ind w:left="720"/>
      <w:contextualSpacing/>
    </w:pPr>
  </w:style>
  <w:style w:type="character" w:customStyle="1" w:styleId="apple-converted-space">
    <w:name w:val="apple-converted-space"/>
    <w:basedOn w:val="a0"/>
    <w:rsid w:val="00EC59BD"/>
  </w:style>
  <w:style w:type="table" w:styleId="a4">
    <w:name w:val="Table Grid"/>
    <w:basedOn w:val="a1"/>
    <w:uiPriority w:val="59"/>
    <w:rsid w:val="005C0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D4"/>
    <w:pPr>
      <w:ind w:left="720"/>
      <w:contextualSpacing/>
    </w:pPr>
  </w:style>
  <w:style w:type="character" w:customStyle="1" w:styleId="apple-converted-space">
    <w:name w:val="apple-converted-space"/>
    <w:basedOn w:val="a0"/>
    <w:rsid w:val="00EC59BD"/>
  </w:style>
  <w:style w:type="table" w:styleId="a4">
    <w:name w:val="Table Grid"/>
    <w:basedOn w:val="a1"/>
    <w:uiPriority w:val="59"/>
    <w:rsid w:val="005C0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</cp:revision>
  <cp:lastPrinted>2017-01-26T08:25:00Z</cp:lastPrinted>
  <dcterms:created xsi:type="dcterms:W3CDTF">2017-01-24T04:56:00Z</dcterms:created>
  <dcterms:modified xsi:type="dcterms:W3CDTF">2017-01-26T08:27:00Z</dcterms:modified>
</cp:coreProperties>
</file>